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A8" w:rsidRDefault="00571BA8" w:rsidP="00571BA8">
      <w:pPr>
        <w:jc w:val="center"/>
        <w:rPr>
          <w:b/>
          <w:i/>
          <w:sz w:val="20"/>
          <w:szCs w:val="20"/>
        </w:rPr>
      </w:pPr>
      <w:r>
        <w:rPr>
          <w:b/>
          <w:i/>
          <w:sz w:val="20"/>
          <w:szCs w:val="20"/>
        </w:rPr>
        <w:t xml:space="preserve">Family Court Order following </w:t>
      </w:r>
      <w:r>
        <w:rPr>
          <w:b/>
          <w:i/>
          <w:sz w:val="20"/>
          <w:szCs w:val="20"/>
          <w:u w:val="single"/>
        </w:rPr>
        <w:t>Blair</w:t>
      </w:r>
      <w:r>
        <w:rPr>
          <w:b/>
          <w:i/>
          <w:sz w:val="20"/>
          <w:szCs w:val="20"/>
        </w:rPr>
        <w:t xml:space="preserve"> Hearing on Juvenile’s Competence </w:t>
      </w:r>
      <w:r w:rsidR="00B01F8D">
        <w:rPr>
          <w:b/>
          <w:i/>
          <w:sz w:val="20"/>
          <w:szCs w:val="20"/>
        </w:rPr>
        <w:t>to</w:t>
      </w:r>
      <w:r>
        <w:rPr>
          <w:b/>
          <w:i/>
          <w:sz w:val="20"/>
          <w:szCs w:val="20"/>
        </w:rPr>
        <w:t xml:space="preserve"> Stand Trial</w:t>
      </w:r>
    </w:p>
    <w:p w:rsidR="00571BA8" w:rsidRDefault="00571BA8" w:rsidP="00571BA8">
      <w:pPr>
        <w:jc w:val="center"/>
        <w:rPr>
          <w:b/>
          <w:i/>
          <w:sz w:val="20"/>
          <w:szCs w:val="20"/>
        </w:rPr>
      </w:pPr>
      <w:r>
        <w:rPr>
          <w:b/>
          <w:i/>
          <w:sz w:val="20"/>
          <w:szCs w:val="20"/>
        </w:rPr>
        <w:t xml:space="preserve">Finding Juvenile Not Competent, and </w:t>
      </w:r>
      <w:r>
        <w:rPr>
          <w:b/>
          <w:i/>
          <w:sz w:val="20"/>
          <w:szCs w:val="20"/>
          <w:u w:val="single"/>
        </w:rPr>
        <w:t>Not</w:t>
      </w:r>
      <w:r>
        <w:rPr>
          <w:b/>
          <w:i/>
          <w:sz w:val="20"/>
          <w:szCs w:val="20"/>
        </w:rPr>
        <w:t xml:space="preserve"> Likely to Become Competent §44-23-430(2</w:t>
      </w:r>
      <w:r w:rsidR="00B01F8D">
        <w:rPr>
          <w:b/>
          <w:i/>
          <w:sz w:val="20"/>
          <w:szCs w:val="20"/>
        </w:rPr>
        <w:t>) due</w:t>
      </w:r>
      <w:r w:rsidR="00EB7F1C">
        <w:rPr>
          <w:b/>
          <w:i/>
          <w:sz w:val="20"/>
          <w:szCs w:val="20"/>
        </w:rPr>
        <w:t xml:space="preserve"> to </w:t>
      </w:r>
      <w:r w:rsidR="009A107E">
        <w:rPr>
          <w:b/>
          <w:i/>
          <w:sz w:val="20"/>
          <w:szCs w:val="20"/>
        </w:rPr>
        <w:t xml:space="preserve">Intellectual Disability </w:t>
      </w:r>
      <w:r w:rsidR="00EB7F1C">
        <w:rPr>
          <w:b/>
          <w:i/>
          <w:sz w:val="20"/>
          <w:szCs w:val="20"/>
        </w:rPr>
        <w:t xml:space="preserve"> </w:t>
      </w:r>
    </w:p>
    <w:p w:rsidR="00571BA8" w:rsidRDefault="00571BA8" w:rsidP="00571BA8">
      <w:pPr>
        <w:jc w:val="center"/>
        <w:rPr>
          <w:b/>
          <w:i/>
          <w:sz w:val="20"/>
          <w:szCs w:val="20"/>
        </w:rPr>
      </w:pPr>
    </w:p>
    <w:tbl>
      <w:tblPr>
        <w:tblpPr w:leftFromText="180" w:rightFromText="180" w:vertAnchor="page" w:horzAnchor="margin" w:tblpXSpec="center" w:tblpY="1945"/>
        <w:tblW w:w="9833" w:type="dxa"/>
        <w:tblLook w:val="04A0" w:firstRow="1" w:lastRow="0" w:firstColumn="1" w:lastColumn="0" w:noHBand="0" w:noVBand="1"/>
      </w:tblPr>
      <w:tblGrid>
        <w:gridCol w:w="4463"/>
        <w:gridCol w:w="296"/>
        <w:gridCol w:w="5074"/>
      </w:tblGrid>
      <w:tr w:rsidR="00761A6E" w:rsidTr="00761A6E">
        <w:tc>
          <w:tcPr>
            <w:tcW w:w="4463" w:type="dxa"/>
            <w:hideMark/>
          </w:tcPr>
          <w:p w:rsidR="00761A6E" w:rsidRDefault="00761A6E" w:rsidP="00761A6E">
            <w:pPr>
              <w:pStyle w:val="normalsingle"/>
              <w:jc w:val="left"/>
            </w:pPr>
            <w:r>
              <w:t>STATE OF SOUTH CAROLINA</w:t>
            </w: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jc w:val="center"/>
            </w:pPr>
            <w:r>
              <w:t>IN THE FAMILY COURT</w:t>
            </w:r>
          </w:p>
        </w:tc>
      </w:tr>
      <w:tr w:rsidR="00761A6E" w:rsidTr="00761A6E">
        <w:trPr>
          <w:cantSplit/>
        </w:trPr>
        <w:tc>
          <w:tcPr>
            <w:tcW w:w="4463" w:type="dxa"/>
          </w:tcPr>
          <w:p w:rsidR="00761A6E" w:rsidRDefault="00761A6E" w:rsidP="00761A6E">
            <w:pPr>
              <w:pStyle w:val="normalsingle"/>
            </w:pPr>
          </w:p>
        </w:tc>
        <w:tc>
          <w:tcPr>
            <w:tcW w:w="296" w:type="dxa"/>
            <w:hideMark/>
          </w:tcPr>
          <w:p w:rsidR="00761A6E" w:rsidRDefault="00761A6E" w:rsidP="00761A6E">
            <w:pPr>
              <w:pStyle w:val="normalsingle"/>
            </w:pPr>
            <w:r>
              <w:t>)</w:t>
            </w:r>
          </w:p>
        </w:tc>
        <w:tc>
          <w:tcPr>
            <w:tcW w:w="5074" w:type="dxa"/>
            <w:hideMark/>
          </w:tcPr>
          <w:p w:rsidR="00761A6E" w:rsidRDefault="00023CA5" w:rsidP="00761A6E">
            <w:pPr>
              <w:pStyle w:val="normalsingle"/>
              <w:jc w:val="center"/>
            </w:pPr>
            <w:r w:rsidRPr="00761A6E">
              <w:rPr>
                <w:u w:val="single"/>
              </w:rPr>
              <w:fldChar w:fldCharType="begin">
                <w:ffData>
                  <w:name w:val="Text5"/>
                  <w:enabled/>
                  <w:calcOnExit w:val="0"/>
                  <w:textInput/>
                </w:ffData>
              </w:fldChar>
            </w:r>
            <w:r w:rsidR="00761A6E" w:rsidRPr="00761A6E">
              <w:rPr>
                <w:u w:val="single"/>
              </w:rPr>
              <w:instrText xml:space="preserve"> FORMTEXT </w:instrText>
            </w:r>
            <w:r w:rsidRPr="00761A6E">
              <w:rPr>
                <w:u w:val="single"/>
              </w:rPr>
            </w:r>
            <w:r w:rsidRPr="00761A6E">
              <w:rPr>
                <w:u w:val="single"/>
              </w:rPr>
              <w:fldChar w:fldCharType="separate"/>
            </w:r>
            <w:bookmarkStart w:id="0" w:name="_GoBack"/>
            <w:r w:rsidR="00761A6E" w:rsidRPr="00761A6E">
              <w:rPr>
                <w:noProof/>
                <w:u w:val="single"/>
              </w:rPr>
              <w:t> </w:t>
            </w:r>
            <w:r w:rsidR="00761A6E" w:rsidRPr="00761A6E">
              <w:rPr>
                <w:noProof/>
                <w:u w:val="single"/>
              </w:rPr>
              <w:t> </w:t>
            </w:r>
            <w:r w:rsidR="00761A6E" w:rsidRPr="00761A6E">
              <w:rPr>
                <w:noProof/>
                <w:u w:val="single"/>
              </w:rPr>
              <w:t> </w:t>
            </w:r>
            <w:r w:rsidR="00761A6E" w:rsidRPr="00761A6E">
              <w:rPr>
                <w:noProof/>
                <w:u w:val="single"/>
              </w:rPr>
              <w:t> </w:t>
            </w:r>
            <w:r w:rsidR="00761A6E" w:rsidRPr="00761A6E">
              <w:rPr>
                <w:noProof/>
                <w:u w:val="single"/>
              </w:rPr>
              <w:t> </w:t>
            </w:r>
            <w:bookmarkEnd w:id="0"/>
            <w:r w:rsidRPr="00761A6E">
              <w:rPr>
                <w:u w:val="single"/>
              </w:rPr>
              <w:fldChar w:fldCharType="end"/>
            </w:r>
            <w:r w:rsidR="00761A6E">
              <w:t xml:space="preserve"> JUDICIAL CIRCUIT</w:t>
            </w:r>
          </w:p>
        </w:tc>
      </w:tr>
      <w:tr w:rsidR="00761A6E" w:rsidTr="00761A6E">
        <w:trPr>
          <w:cantSplit/>
        </w:trPr>
        <w:tc>
          <w:tcPr>
            <w:tcW w:w="4463" w:type="dxa"/>
            <w:hideMark/>
          </w:tcPr>
          <w:p w:rsidR="00761A6E" w:rsidRDefault="00761A6E" w:rsidP="00761A6E">
            <w:pPr>
              <w:pStyle w:val="normalsingle"/>
            </w:pPr>
            <w:r>
              <w:t xml:space="preserve">COUNTY OF </w:t>
            </w:r>
            <w:bookmarkStart w:id="1" w:name="Text5"/>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bookmarkEnd w:id="1"/>
          </w:p>
        </w:tc>
        <w:tc>
          <w:tcPr>
            <w:tcW w:w="296" w:type="dxa"/>
            <w:hideMark/>
          </w:tcPr>
          <w:p w:rsidR="00761A6E" w:rsidRDefault="00761A6E" w:rsidP="00761A6E">
            <w:pPr>
              <w:pStyle w:val="normalsingle"/>
            </w:pPr>
            <w:r>
              <w:t>)</w:t>
            </w:r>
          </w:p>
        </w:tc>
        <w:tc>
          <w:tcPr>
            <w:tcW w:w="5074" w:type="dxa"/>
          </w:tcPr>
          <w:p w:rsidR="00761A6E" w:rsidRDefault="00761A6E" w:rsidP="00761A6E">
            <w:pPr>
              <w:pStyle w:val="normalsingle"/>
            </w:pPr>
          </w:p>
        </w:tc>
      </w:tr>
      <w:tr w:rsidR="00761A6E" w:rsidTr="00761A6E">
        <w:trPr>
          <w:cantSplit/>
        </w:trPr>
        <w:tc>
          <w:tcPr>
            <w:tcW w:w="4463" w:type="dxa"/>
          </w:tcPr>
          <w:p w:rsidR="00761A6E" w:rsidRDefault="00761A6E" w:rsidP="00761A6E">
            <w:pPr>
              <w:pStyle w:val="normalsingle"/>
              <w:jc w:val="center"/>
            </w:pP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jc w:val="center"/>
              <w:rPr>
                <w:b/>
              </w:rPr>
            </w:pPr>
            <w:r>
              <w:rPr>
                <w:b/>
              </w:rPr>
              <w:t>FINDING OF  LACK OF COMPETENCE</w:t>
            </w:r>
          </w:p>
        </w:tc>
      </w:tr>
      <w:tr w:rsidR="00761A6E" w:rsidTr="00761A6E">
        <w:trPr>
          <w:cantSplit/>
        </w:trPr>
        <w:tc>
          <w:tcPr>
            <w:tcW w:w="4463" w:type="dxa"/>
          </w:tcPr>
          <w:p w:rsidR="00761A6E" w:rsidRDefault="00761A6E" w:rsidP="00761A6E">
            <w:pPr>
              <w:pStyle w:val="normalsingle"/>
            </w:pP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jc w:val="center"/>
              <w:rPr>
                <w:b/>
              </w:rPr>
            </w:pPr>
            <w:r>
              <w:rPr>
                <w:b/>
              </w:rPr>
              <w:t>TO STAND TRIAL</w:t>
            </w:r>
          </w:p>
        </w:tc>
      </w:tr>
      <w:tr w:rsidR="00761A6E" w:rsidTr="00761A6E">
        <w:tc>
          <w:tcPr>
            <w:tcW w:w="4463" w:type="dxa"/>
          </w:tcPr>
          <w:p w:rsidR="00761A6E" w:rsidRDefault="00761A6E" w:rsidP="00761A6E">
            <w:pPr>
              <w:pStyle w:val="normalsingle"/>
              <w:jc w:val="left"/>
            </w:pP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ind w:right="252"/>
              <w:jc w:val="center"/>
              <w:rPr>
                <w:b/>
              </w:rPr>
            </w:pPr>
            <w:r>
              <w:rPr>
                <w:b/>
              </w:rPr>
              <w:t>FOR THE FORESEEABLE FUTURE</w:t>
            </w:r>
          </w:p>
        </w:tc>
      </w:tr>
      <w:tr w:rsidR="00761A6E" w:rsidTr="00761A6E">
        <w:tc>
          <w:tcPr>
            <w:tcW w:w="4463" w:type="dxa"/>
            <w:hideMark/>
          </w:tcPr>
          <w:p w:rsidR="00761A6E" w:rsidRDefault="00761A6E" w:rsidP="00761A6E">
            <w:pPr>
              <w:pStyle w:val="normalsingle"/>
              <w:jc w:val="left"/>
            </w:pPr>
            <w:r>
              <w:t>A JUVENILE</w:t>
            </w: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ind w:right="252"/>
              <w:jc w:val="center"/>
              <w:rPr>
                <w:b/>
              </w:rPr>
            </w:pPr>
            <w:r>
              <w:rPr>
                <w:b/>
              </w:rPr>
              <w:t xml:space="preserve">AND ORDERING </w:t>
            </w:r>
          </w:p>
        </w:tc>
      </w:tr>
      <w:tr w:rsidR="00761A6E" w:rsidTr="00761A6E">
        <w:tc>
          <w:tcPr>
            <w:tcW w:w="4463" w:type="dxa"/>
          </w:tcPr>
          <w:p w:rsidR="00761A6E" w:rsidRDefault="00761A6E" w:rsidP="00761A6E">
            <w:pPr>
              <w:pStyle w:val="normalsingle"/>
              <w:jc w:val="left"/>
            </w:pP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ind w:right="252"/>
              <w:jc w:val="center"/>
              <w:rPr>
                <w:b/>
              </w:rPr>
            </w:pPr>
            <w:r>
              <w:rPr>
                <w:b/>
              </w:rPr>
              <w:t>COMMITMENT PROCEEDINGS</w:t>
            </w:r>
          </w:p>
        </w:tc>
      </w:tr>
      <w:tr w:rsidR="00761A6E" w:rsidTr="00761A6E">
        <w:tc>
          <w:tcPr>
            <w:tcW w:w="4463" w:type="dxa"/>
            <w:tcBorders>
              <w:top w:val="nil"/>
              <w:left w:val="nil"/>
              <w:bottom w:val="single" w:sz="4" w:space="0" w:color="auto"/>
              <w:right w:val="nil"/>
            </w:tcBorders>
          </w:tcPr>
          <w:p w:rsidR="00761A6E" w:rsidRPr="00761A6E" w:rsidRDefault="00023CA5" w:rsidP="00761A6E">
            <w:pPr>
              <w:pStyle w:val="normalsingle"/>
              <w:jc w:val="left"/>
            </w:pPr>
            <w:r>
              <w:fldChar w:fldCharType="begin">
                <w:ffData>
                  <w:name w:val="Text5"/>
                  <w:enabled/>
                  <w:calcOnExit w:val="0"/>
                  <w:textInput/>
                </w:ffData>
              </w:fldChar>
            </w:r>
            <w:r>
              <w:instrText xml:space="preserve"> FORMTEXT </w:instrText>
            </w:r>
            <w:r>
              <w:fldChar w:fldCharType="separate"/>
            </w:r>
            <w:r w:rsidR="00761A6E" w:rsidRPr="00761A6E">
              <w:rPr>
                <w:noProof/>
              </w:rPr>
              <w:t> </w:t>
            </w:r>
            <w:r w:rsidR="00761A6E" w:rsidRPr="00761A6E">
              <w:rPr>
                <w:noProof/>
              </w:rPr>
              <w:t> </w:t>
            </w:r>
            <w:r w:rsidR="00761A6E" w:rsidRPr="00761A6E">
              <w:rPr>
                <w:noProof/>
              </w:rPr>
              <w:t> </w:t>
            </w:r>
            <w:r w:rsidR="00761A6E" w:rsidRPr="00761A6E">
              <w:rPr>
                <w:noProof/>
              </w:rPr>
              <w:t> </w:t>
            </w:r>
            <w:r w:rsidR="00761A6E" w:rsidRPr="00761A6E">
              <w:rPr>
                <w:noProof/>
              </w:rPr>
              <w:t> </w:t>
            </w:r>
            <w:r>
              <w:fldChar w:fldCharType="end"/>
            </w:r>
          </w:p>
        </w:tc>
        <w:tc>
          <w:tcPr>
            <w:tcW w:w="296" w:type="dxa"/>
            <w:hideMark/>
          </w:tcPr>
          <w:p w:rsidR="00761A6E" w:rsidRDefault="00761A6E" w:rsidP="00761A6E">
            <w:pPr>
              <w:pStyle w:val="normalsingle"/>
            </w:pPr>
            <w:r>
              <w:t>)</w:t>
            </w:r>
          </w:p>
        </w:tc>
        <w:tc>
          <w:tcPr>
            <w:tcW w:w="5074" w:type="dxa"/>
          </w:tcPr>
          <w:p w:rsidR="00761A6E" w:rsidRDefault="00761A6E" w:rsidP="00761A6E">
            <w:pPr>
              <w:pStyle w:val="normalsingle"/>
              <w:ind w:right="252"/>
              <w:rPr>
                <w:b/>
              </w:rPr>
            </w:pPr>
          </w:p>
        </w:tc>
      </w:tr>
      <w:tr w:rsidR="00761A6E" w:rsidTr="00761A6E">
        <w:tc>
          <w:tcPr>
            <w:tcW w:w="4463" w:type="dxa"/>
            <w:tcBorders>
              <w:top w:val="single" w:sz="4" w:space="0" w:color="auto"/>
              <w:left w:val="nil"/>
              <w:bottom w:val="nil"/>
              <w:right w:val="nil"/>
            </w:tcBorders>
          </w:tcPr>
          <w:p w:rsidR="00761A6E" w:rsidRDefault="00761A6E" w:rsidP="00761A6E">
            <w:pPr>
              <w:pStyle w:val="normalsingle"/>
              <w:jc w:val="right"/>
            </w:pPr>
          </w:p>
        </w:tc>
        <w:tc>
          <w:tcPr>
            <w:tcW w:w="296" w:type="dxa"/>
            <w:hideMark/>
          </w:tcPr>
          <w:p w:rsidR="00761A6E" w:rsidRDefault="00761A6E" w:rsidP="00761A6E">
            <w:pPr>
              <w:pStyle w:val="normalsingle"/>
            </w:pPr>
            <w:r>
              <w:t>)</w:t>
            </w:r>
          </w:p>
        </w:tc>
        <w:tc>
          <w:tcPr>
            <w:tcW w:w="5074" w:type="dxa"/>
          </w:tcPr>
          <w:p w:rsidR="00761A6E" w:rsidRDefault="00761A6E" w:rsidP="00761A6E">
            <w:pPr>
              <w:pStyle w:val="normalsingle"/>
              <w:ind w:right="252"/>
              <w:jc w:val="center"/>
              <w:rPr>
                <w:b/>
              </w:rPr>
            </w:pPr>
          </w:p>
        </w:tc>
      </w:tr>
      <w:tr w:rsidR="00761A6E" w:rsidTr="00761A6E">
        <w:tc>
          <w:tcPr>
            <w:tcW w:w="4463" w:type="dxa"/>
          </w:tcPr>
          <w:p w:rsidR="00761A6E" w:rsidRDefault="00761A6E" w:rsidP="00761A6E">
            <w:pPr>
              <w:pStyle w:val="normalsingle"/>
              <w:jc w:val="left"/>
            </w:pPr>
          </w:p>
        </w:tc>
        <w:tc>
          <w:tcPr>
            <w:tcW w:w="296" w:type="dxa"/>
            <w:hideMark/>
          </w:tcPr>
          <w:p w:rsidR="00761A6E" w:rsidRDefault="00761A6E" w:rsidP="00761A6E">
            <w:pPr>
              <w:pStyle w:val="normalsingle"/>
            </w:pPr>
            <w:r>
              <w:t>)</w:t>
            </w:r>
          </w:p>
        </w:tc>
        <w:tc>
          <w:tcPr>
            <w:tcW w:w="5074" w:type="dxa"/>
          </w:tcPr>
          <w:p w:rsidR="00761A6E" w:rsidRDefault="00761A6E" w:rsidP="00761A6E">
            <w:pPr>
              <w:pStyle w:val="normalsingle"/>
              <w:ind w:right="252"/>
              <w:jc w:val="left"/>
            </w:pPr>
          </w:p>
        </w:tc>
      </w:tr>
      <w:tr w:rsidR="00761A6E" w:rsidTr="00761A6E">
        <w:tc>
          <w:tcPr>
            <w:tcW w:w="4463" w:type="dxa"/>
            <w:hideMark/>
          </w:tcPr>
          <w:p w:rsidR="00761A6E" w:rsidRDefault="00CF1BD7" w:rsidP="00CF1BD7">
            <w:pPr>
              <w:pStyle w:val="normalsingle"/>
              <w:jc w:val="left"/>
            </w:pPr>
            <w:r>
              <w:t>A Child under Eighteen</w:t>
            </w:r>
            <w:r w:rsidR="00761A6E">
              <w:t xml:space="preserve"> (1</w:t>
            </w:r>
            <w:r>
              <w:t>8</w:t>
            </w:r>
            <w:r w:rsidR="00761A6E">
              <w:t>) Years of Age</w:t>
            </w:r>
          </w:p>
        </w:tc>
        <w:tc>
          <w:tcPr>
            <w:tcW w:w="296" w:type="dxa"/>
            <w:hideMark/>
          </w:tcPr>
          <w:p w:rsidR="00761A6E" w:rsidRDefault="00761A6E" w:rsidP="00761A6E">
            <w:pPr>
              <w:pStyle w:val="normalsingle"/>
            </w:pPr>
            <w:r>
              <w:t>)</w:t>
            </w:r>
          </w:p>
        </w:tc>
        <w:tc>
          <w:tcPr>
            <w:tcW w:w="5074" w:type="dxa"/>
            <w:hideMark/>
          </w:tcPr>
          <w:p w:rsidR="00761A6E" w:rsidRDefault="00761A6E" w:rsidP="00761A6E">
            <w:pPr>
              <w:pStyle w:val="normalsingle"/>
              <w:ind w:right="252"/>
              <w:jc w:val="left"/>
            </w:pPr>
            <w:r>
              <w:t xml:space="preserve">Docket No.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r>
    </w:tbl>
    <w:p w:rsidR="00761A6E" w:rsidRDefault="00761A6E" w:rsidP="00761A6E">
      <w:pPr>
        <w:spacing w:line="360" w:lineRule="auto"/>
        <w:ind w:firstLine="720"/>
      </w:pPr>
    </w:p>
    <w:tbl>
      <w:tblPr>
        <w:tblStyle w:val="TableGrid"/>
        <w:tblpPr w:leftFromText="180" w:rightFromText="180" w:vertAnchor="text" w:horzAnchor="margin" w:tblpY="2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60"/>
      </w:tblGrid>
      <w:tr w:rsidR="00761A6E" w:rsidRPr="004C5E71" w:rsidTr="00761A6E">
        <w:tc>
          <w:tcPr>
            <w:tcW w:w="5400" w:type="dxa"/>
          </w:tcPr>
          <w:p w:rsidR="00761A6E" w:rsidRPr="004C5E71" w:rsidRDefault="00761A6E" w:rsidP="00761A6E">
            <w:pPr>
              <w:spacing w:after="120"/>
              <w:rPr>
                <w:rFonts w:eastAsiaTheme="minorHAnsi"/>
                <w:sz w:val="22"/>
                <w:szCs w:val="22"/>
              </w:rPr>
            </w:pPr>
            <w:r w:rsidRPr="004C5E71">
              <w:rPr>
                <w:rFonts w:eastAsiaTheme="minorHAnsi"/>
                <w:sz w:val="22"/>
                <w:szCs w:val="22"/>
              </w:rPr>
              <w:t xml:space="preserve">Plaintiff Attorney: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c>
          <w:tcPr>
            <w:tcW w:w="3960" w:type="dxa"/>
          </w:tcPr>
          <w:p w:rsidR="00761A6E" w:rsidRPr="004C5E71" w:rsidRDefault="00761A6E" w:rsidP="00761A6E">
            <w:pPr>
              <w:spacing w:after="120"/>
              <w:rPr>
                <w:rFonts w:eastAsiaTheme="minorHAnsi"/>
                <w:sz w:val="22"/>
                <w:szCs w:val="22"/>
              </w:rPr>
            </w:pPr>
            <w:r w:rsidRPr="004C5E71">
              <w:rPr>
                <w:rFonts w:eastAsiaTheme="minorHAnsi"/>
                <w:sz w:val="22"/>
                <w:szCs w:val="22"/>
              </w:rPr>
              <w:t xml:space="preserve">Hearing Date: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r>
      <w:tr w:rsidR="00761A6E" w:rsidRPr="004C5E71" w:rsidTr="00761A6E">
        <w:tc>
          <w:tcPr>
            <w:tcW w:w="5400" w:type="dxa"/>
          </w:tcPr>
          <w:p w:rsidR="00761A6E" w:rsidRPr="004C5E71" w:rsidRDefault="00761A6E" w:rsidP="00761A6E">
            <w:pPr>
              <w:spacing w:after="120"/>
              <w:rPr>
                <w:rFonts w:eastAsiaTheme="minorHAnsi"/>
                <w:sz w:val="22"/>
                <w:szCs w:val="22"/>
              </w:rPr>
            </w:pPr>
            <w:r w:rsidRPr="004C5E71">
              <w:rPr>
                <w:rFonts w:eastAsiaTheme="minorHAnsi"/>
                <w:sz w:val="22"/>
                <w:szCs w:val="22"/>
              </w:rPr>
              <w:t xml:space="preserve">Defendant Attorney: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c>
          <w:tcPr>
            <w:tcW w:w="3960" w:type="dxa"/>
          </w:tcPr>
          <w:p w:rsidR="00761A6E" w:rsidRPr="004C5E71" w:rsidRDefault="00761A6E" w:rsidP="00761A6E">
            <w:pPr>
              <w:spacing w:after="120"/>
              <w:rPr>
                <w:rFonts w:eastAsiaTheme="minorHAnsi"/>
                <w:sz w:val="22"/>
                <w:szCs w:val="22"/>
              </w:rPr>
            </w:pPr>
            <w:r w:rsidRPr="004C5E71">
              <w:rPr>
                <w:rFonts w:eastAsiaTheme="minorHAnsi"/>
                <w:sz w:val="22"/>
                <w:szCs w:val="22"/>
              </w:rPr>
              <w:t xml:space="preserve">Judge: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r>
      <w:tr w:rsidR="00761A6E" w:rsidRPr="004C5E71" w:rsidTr="00761A6E">
        <w:tc>
          <w:tcPr>
            <w:tcW w:w="5400" w:type="dxa"/>
          </w:tcPr>
          <w:p w:rsidR="00761A6E" w:rsidRPr="004C5E71" w:rsidRDefault="00761A6E" w:rsidP="00761A6E">
            <w:pPr>
              <w:spacing w:after="120"/>
              <w:rPr>
                <w:rFonts w:eastAsiaTheme="minorHAnsi"/>
                <w:sz w:val="22"/>
                <w:szCs w:val="22"/>
              </w:rPr>
            </w:pPr>
            <w:r>
              <w:rPr>
                <w:rFonts w:eastAsiaTheme="minorHAnsi"/>
                <w:sz w:val="22"/>
                <w:szCs w:val="22"/>
              </w:rPr>
              <w:t>Guardian a</w:t>
            </w:r>
            <w:r w:rsidRPr="004C5E71">
              <w:rPr>
                <w:rFonts w:eastAsiaTheme="minorHAnsi"/>
                <w:sz w:val="22"/>
                <w:szCs w:val="22"/>
              </w:rPr>
              <w:t>d Litem</w:t>
            </w:r>
            <w:r>
              <w:rPr>
                <w:rFonts w:eastAsiaTheme="minorHAnsi"/>
                <w:sz w:val="22"/>
                <w:szCs w:val="22"/>
              </w:rPr>
              <w:t xml:space="preserve">: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r w:rsidRPr="004C5E71">
              <w:rPr>
                <w:rFonts w:eastAsiaTheme="minorHAnsi"/>
                <w:sz w:val="22"/>
                <w:szCs w:val="22"/>
              </w:rPr>
              <w:tab/>
            </w:r>
          </w:p>
        </w:tc>
        <w:tc>
          <w:tcPr>
            <w:tcW w:w="3960" w:type="dxa"/>
          </w:tcPr>
          <w:p w:rsidR="00761A6E" w:rsidRPr="004C5E71" w:rsidRDefault="00761A6E" w:rsidP="00761A6E">
            <w:pPr>
              <w:spacing w:after="120"/>
              <w:rPr>
                <w:rFonts w:eastAsiaTheme="minorHAnsi"/>
                <w:sz w:val="22"/>
                <w:szCs w:val="22"/>
              </w:rPr>
            </w:pPr>
            <w:r w:rsidRPr="004C5E71">
              <w:rPr>
                <w:rFonts w:eastAsiaTheme="minorHAnsi"/>
                <w:sz w:val="22"/>
                <w:szCs w:val="22"/>
              </w:rPr>
              <w:t xml:space="preserve">Court Reporter: </w:t>
            </w:r>
            <w:r w:rsidR="00023CA5" w:rsidRPr="00761A6E">
              <w:rPr>
                <w:u w:val="single"/>
              </w:rPr>
              <w:fldChar w:fldCharType="begin">
                <w:ffData>
                  <w:name w:val="Text5"/>
                  <w:enabled/>
                  <w:calcOnExit w:val="0"/>
                  <w:textInput/>
                </w:ffData>
              </w:fldChar>
            </w:r>
            <w:r w:rsidRPr="00761A6E">
              <w:rPr>
                <w:u w:val="single"/>
              </w:rPr>
              <w:instrText xml:space="preserve"> FORMTEXT </w:instrText>
            </w:r>
            <w:r w:rsidR="00023CA5" w:rsidRPr="00761A6E">
              <w:rPr>
                <w:u w:val="single"/>
              </w:rPr>
            </w:r>
            <w:r w:rsidR="00023CA5" w:rsidRPr="00761A6E">
              <w:rPr>
                <w:u w:val="single"/>
              </w:rPr>
              <w:fldChar w:fldCharType="separate"/>
            </w:r>
            <w:r w:rsidRPr="00761A6E">
              <w:rPr>
                <w:noProof/>
                <w:u w:val="single"/>
              </w:rPr>
              <w:t> </w:t>
            </w:r>
            <w:r w:rsidRPr="00761A6E">
              <w:rPr>
                <w:noProof/>
                <w:u w:val="single"/>
              </w:rPr>
              <w:t> </w:t>
            </w:r>
            <w:r w:rsidRPr="00761A6E">
              <w:rPr>
                <w:noProof/>
                <w:u w:val="single"/>
              </w:rPr>
              <w:t> </w:t>
            </w:r>
            <w:r w:rsidRPr="00761A6E">
              <w:rPr>
                <w:noProof/>
                <w:u w:val="single"/>
              </w:rPr>
              <w:t> </w:t>
            </w:r>
            <w:r w:rsidRPr="00761A6E">
              <w:rPr>
                <w:noProof/>
                <w:u w:val="single"/>
              </w:rPr>
              <w:t> </w:t>
            </w:r>
            <w:r w:rsidR="00023CA5" w:rsidRPr="00761A6E">
              <w:rPr>
                <w:u w:val="single"/>
              </w:rPr>
              <w:fldChar w:fldCharType="end"/>
            </w:r>
          </w:p>
        </w:tc>
      </w:tr>
    </w:tbl>
    <w:p w:rsidR="00571BA8" w:rsidRDefault="00571BA8" w:rsidP="00761A6E">
      <w:pPr>
        <w:spacing w:line="360" w:lineRule="auto"/>
        <w:ind w:firstLine="720"/>
      </w:pPr>
      <w:r>
        <w:t>This matter is before me pursuant to S. C. Code Ann. §44-23-430 (Supp. 2006</w:t>
      </w:r>
      <w:r w:rsidR="000C6CE4">
        <w:t>) for</w:t>
      </w:r>
      <w:r>
        <w:t xml:space="preserve"> a hearing on the issue of the juvenile’s competence to stand trial.</w:t>
      </w:r>
    </w:p>
    <w:p w:rsidR="00571BA8" w:rsidRDefault="00571BA8" w:rsidP="00761A6E">
      <w:pPr>
        <w:spacing w:line="360" w:lineRule="auto"/>
      </w:pPr>
      <w:r>
        <w:tab/>
        <w:t>The juvenile</w:t>
      </w:r>
      <w:proofErr w:type="gramStart"/>
      <w:r>
        <w:t xml:space="preserve">, </w:t>
      </w:r>
      <w:bookmarkStart w:id="2" w:name="Text2"/>
      <w:proofErr w:type="gramEnd"/>
      <w:r w:rsidR="00023CA5" w:rsidRPr="002E1465">
        <w:rPr>
          <w:u w:val="single"/>
        </w:rPr>
        <w:fldChar w:fldCharType="begin">
          <w:ffData>
            <w:name w:val="Text2"/>
            <w:enabled/>
            <w:calcOnExit w:val="0"/>
            <w:textInput/>
          </w:ffData>
        </w:fldChar>
      </w:r>
      <w:r w:rsidR="002E1465" w:rsidRPr="002E1465">
        <w:rPr>
          <w:u w:val="single"/>
        </w:rPr>
        <w:instrText xml:space="preserve"> FORMTEXT </w:instrText>
      </w:r>
      <w:r w:rsidR="00023CA5" w:rsidRPr="002E1465">
        <w:rPr>
          <w:u w:val="single"/>
        </w:rPr>
      </w:r>
      <w:r w:rsidR="00023CA5" w:rsidRPr="002E1465">
        <w:rPr>
          <w:u w:val="single"/>
        </w:rPr>
        <w:fldChar w:fldCharType="separate"/>
      </w:r>
      <w:r w:rsidR="002E1465" w:rsidRPr="002E1465">
        <w:rPr>
          <w:noProof/>
          <w:u w:val="single"/>
        </w:rPr>
        <w:t> </w:t>
      </w:r>
      <w:r w:rsidR="002E1465" w:rsidRPr="002E1465">
        <w:rPr>
          <w:noProof/>
          <w:u w:val="single"/>
        </w:rPr>
        <w:t> </w:t>
      </w:r>
      <w:r w:rsidR="002E1465" w:rsidRPr="002E1465">
        <w:rPr>
          <w:noProof/>
          <w:u w:val="single"/>
        </w:rPr>
        <w:t> </w:t>
      </w:r>
      <w:r w:rsidR="002E1465" w:rsidRPr="002E1465">
        <w:rPr>
          <w:noProof/>
          <w:u w:val="single"/>
        </w:rPr>
        <w:t> </w:t>
      </w:r>
      <w:r w:rsidR="002E1465" w:rsidRPr="002E1465">
        <w:rPr>
          <w:noProof/>
          <w:u w:val="single"/>
        </w:rPr>
        <w:t> </w:t>
      </w:r>
      <w:r w:rsidR="00023CA5" w:rsidRPr="002E1465">
        <w:rPr>
          <w:u w:val="single"/>
        </w:rPr>
        <w:fldChar w:fldCharType="end"/>
      </w:r>
      <w:bookmarkEnd w:id="2"/>
      <w:r>
        <w:t xml:space="preserve">, is charged with </w:t>
      </w:r>
      <w:bookmarkStart w:id="3" w:name="Text3"/>
      <w:r w:rsidR="00023CA5" w:rsidRPr="002E1465">
        <w:rPr>
          <w:u w:val="single"/>
        </w:rPr>
        <w:fldChar w:fldCharType="begin">
          <w:ffData>
            <w:name w:val="Text3"/>
            <w:enabled/>
            <w:calcOnExit w:val="0"/>
            <w:textInput/>
          </w:ffData>
        </w:fldChar>
      </w:r>
      <w:r w:rsidR="002E1465" w:rsidRPr="002E1465">
        <w:rPr>
          <w:u w:val="single"/>
        </w:rPr>
        <w:instrText xml:space="preserve"> FORMTEXT </w:instrText>
      </w:r>
      <w:r w:rsidR="00023CA5" w:rsidRPr="002E1465">
        <w:rPr>
          <w:u w:val="single"/>
        </w:rPr>
      </w:r>
      <w:r w:rsidR="00023CA5" w:rsidRPr="002E1465">
        <w:rPr>
          <w:u w:val="single"/>
        </w:rPr>
        <w:fldChar w:fldCharType="separate"/>
      </w:r>
      <w:r w:rsidR="002E1465" w:rsidRPr="002E1465">
        <w:rPr>
          <w:noProof/>
          <w:u w:val="single"/>
        </w:rPr>
        <w:t> </w:t>
      </w:r>
      <w:r w:rsidR="002E1465" w:rsidRPr="002E1465">
        <w:rPr>
          <w:noProof/>
          <w:u w:val="single"/>
        </w:rPr>
        <w:t> </w:t>
      </w:r>
      <w:r w:rsidR="002E1465" w:rsidRPr="002E1465">
        <w:rPr>
          <w:noProof/>
          <w:u w:val="single"/>
        </w:rPr>
        <w:t> </w:t>
      </w:r>
      <w:r w:rsidR="002E1465" w:rsidRPr="002E1465">
        <w:rPr>
          <w:noProof/>
          <w:u w:val="single"/>
        </w:rPr>
        <w:t> </w:t>
      </w:r>
      <w:r w:rsidR="002E1465" w:rsidRPr="002E1465">
        <w:rPr>
          <w:noProof/>
          <w:u w:val="single"/>
        </w:rPr>
        <w:t> </w:t>
      </w:r>
      <w:r w:rsidR="00023CA5" w:rsidRPr="002E1465">
        <w:rPr>
          <w:u w:val="single"/>
        </w:rPr>
        <w:fldChar w:fldCharType="end"/>
      </w:r>
      <w:bookmarkEnd w:id="3"/>
      <w:r>
        <w:t xml:space="preserve">.  Pursuant to a previous Court order, the juvenile’s competence to stand trial has been evaluated.   In a report </w:t>
      </w:r>
      <w:proofErr w:type="gramStart"/>
      <w:r>
        <w:t xml:space="preserve">dated </w:t>
      </w:r>
      <w:bookmarkStart w:id="4" w:name="Text4"/>
      <w:proofErr w:type="gramEnd"/>
      <w:r w:rsidR="00023CA5">
        <w:rPr>
          <w:u w:val="single"/>
        </w:rPr>
        <w:fldChar w:fldCharType="begin">
          <w:ffData>
            <w:name w:val="Text4"/>
            <w:enabled/>
            <w:calcOnExit w:val="0"/>
            <w:textInput>
              <w:type w:val="date"/>
              <w:format w:val="M/d/yy"/>
            </w:textInput>
          </w:ffData>
        </w:fldChar>
      </w:r>
      <w:r w:rsidR="002E1465">
        <w:rPr>
          <w:u w:val="single"/>
        </w:rPr>
        <w:instrText xml:space="preserve"> FORMTEXT </w:instrText>
      </w:r>
      <w:r w:rsidR="00023CA5">
        <w:rPr>
          <w:u w:val="single"/>
        </w:rPr>
      </w:r>
      <w:r w:rsidR="00023CA5">
        <w:rPr>
          <w:u w:val="single"/>
        </w:rPr>
        <w:fldChar w:fldCharType="separate"/>
      </w:r>
      <w:r w:rsidR="002E1465">
        <w:rPr>
          <w:noProof/>
          <w:u w:val="single"/>
        </w:rPr>
        <w:t> </w:t>
      </w:r>
      <w:r w:rsidR="002E1465">
        <w:rPr>
          <w:noProof/>
          <w:u w:val="single"/>
        </w:rPr>
        <w:t> </w:t>
      </w:r>
      <w:r w:rsidR="002E1465">
        <w:rPr>
          <w:noProof/>
          <w:u w:val="single"/>
        </w:rPr>
        <w:t> </w:t>
      </w:r>
      <w:r w:rsidR="002E1465">
        <w:rPr>
          <w:noProof/>
          <w:u w:val="single"/>
        </w:rPr>
        <w:t> </w:t>
      </w:r>
      <w:r w:rsidR="002E1465">
        <w:rPr>
          <w:noProof/>
          <w:u w:val="single"/>
        </w:rPr>
        <w:t> </w:t>
      </w:r>
      <w:r w:rsidR="00023CA5">
        <w:rPr>
          <w:u w:val="single"/>
        </w:rPr>
        <w:fldChar w:fldCharType="end"/>
      </w:r>
      <w:bookmarkEnd w:id="4"/>
      <w:r>
        <w:t>, the examiners found that the juvenile is not currently competent to stand trial and is unlikely to become competent in the foreseeable future. The report was statutorily admitted into evidence pursuant to S.C. Code Ann. §44-23-420(C) (Supp. 2006) and a copy of the report is attached hereto.</w:t>
      </w:r>
    </w:p>
    <w:p w:rsidR="00571BA8" w:rsidRDefault="00571BA8" w:rsidP="00761A6E">
      <w:pPr>
        <w:spacing w:line="360" w:lineRule="auto"/>
      </w:pPr>
      <w:r>
        <w:tab/>
        <w:t>Based upon the examiner’s report, I find that the juvenile is currently incompetent to stand trial for the reasons set forth in S.C. Code Ann. §44-23-410 (Supp. 2006), and unlikely to become competent in the foreseeable future.</w:t>
      </w:r>
    </w:p>
    <w:p w:rsidR="00571BA8" w:rsidRDefault="00571BA8" w:rsidP="00761A6E">
      <w:pPr>
        <w:spacing w:line="360" w:lineRule="auto"/>
      </w:pPr>
      <w:r>
        <w:tab/>
      </w:r>
      <w:r>
        <w:rPr>
          <w:b/>
        </w:rPr>
        <w:t>IT IS FURTHER ORDERED,</w:t>
      </w:r>
      <w:r>
        <w:t xml:space="preserve"> pursuant to S.C. Code Ann. §44-20-450(Supp. 2006), the Solicitor shall initiate judicial admission proceedings in the Family or Probate Court pursuant to S.C. Code Ann. §44-20-450</w:t>
      </w:r>
      <w:r w:rsidR="002E1465">
        <w:t xml:space="preserve"> </w:t>
      </w:r>
      <w:r>
        <w:t>(Supp. 2006), within fourteen (14) business days from the date of this Order.</w:t>
      </w:r>
    </w:p>
    <w:p w:rsidR="00571BA8" w:rsidRDefault="00571BA8" w:rsidP="00571BA8">
      <w:pPr>
        <w:spacing w:line="480" w:lineRule="auto"/>
        <w:ind w:firstLine="720"/>
      </w:pPr>
      <w:r>
        <w:rPr>
          <w:b/>
        </w:rPr>
        <w:t>IT IS SO ORDERED.</w:t>
      </w:r>
      <w:r>
        <w:t xml:space="preserve"> </w:t>
      </w:r>
    </w:p>
    <w:p w:rsidR="00571BA8" w:rsidRDefault="00571BA8" w:rsidP="00571BA8">
      <w:pPr>
        <w:jc w:val="both"/>
      </w:pPr>
    </w:p>
    <w:p w:rsidR="00571BA8" w:rsidRDefault="00761A6E" w:rsidP="00571BA8">
      <w:pPr>
        <w:jc w:val="both"/>
        <w:rPr>
          <w:b/>
          <w:sz w:val="22"/>
          <w:szCs w:val="22"/>
        </w:rPr>
      </w:pPr>
      <w:r w:rsidRPr="00761A6E">
        <w:rPr>
          <w:sz w:val="22"/>
          <w:szCs w:val="22"/>
        </w:rPr>
        <w:t>Date: _________________________, 20</w:t>
      </w:r>
      <w:r>
        <w:rPr>
          <w:sz w:val="22"/>
          <w:szCs w:val="22"/>
        </w:rPr>
        <w:t>_</w:t>
      </w:r>
      <w:r w:rsidRPr="00761A6E">
        <w:rPr>
          <w:sz w:val="22"/>
          <w:szCs w:val="22"/>
        </w:rPr>
        <w:t>___</w:t>
      </w:r>
      <w:r w:rsidR="00571BA8" w:rsidRPr="00761A6E">
        <w:rPr>
          <w:sz w:val="22"/>
          <w:szCs w:val="22"/>
        </w:rPr>
        <w:tab/>
      </w:r>
      <w:r w:rsidR="00571BA8" w:rsidRPr="00761A6E">
        <w:rPr>
          <w:sz w:val="22"/>
          <w:szCs w:val="22"/>
        </w:rPr>
        <w:tab/>
      </w:r>
      <w:r w:rsidR="00571BA8">
        <w:rPr>
          <w:b/>
          <w:sz w:val="22"/>
          <w:szCs w:val="22"/>
        </w:rPr>
        <w:t>________________________________</w:t>
      </w:r>
    </w:p>
    <w:p w:rsidR="00571BA8" w:rsidRDefault="00761A6E" w:rsidP="00571BA8">
      <w:pPr>
        <w:jc w:val="both"/>
        <w:rPr>
          <w:sz w:val="22"/>
          <w:szCs w:val="22"/>
        </w:rPr>
      </w:pPr>
      <w:r w:rsidRPr="00761A6E">
        <w:rPr>
          <w:sz w:val="22"/>
          <w:szCs w:val="22"/>
        </w:rPr>
        <w:t>____________________________, S.C.</w:t>
      </w:r>
      <w:r w:rsidRPr="00761A6E">
        <w:rPr>
          <w:sz w:val="22"/>
          <w:szCs w:val="22"/>
        </w:rPr>
        <w:tab/>
      </w:r>
      <w:r w:rsidR="00571BA8" w:rsidRPr="00761A6E">
        <w:rPr>
          <w:sz w:val="22"/>
          <w:szCs w:val="22"/>
        </w:rPr>
        <w:tab/>
      </w:r>
      <w:r w:rsidR="00571BA8">
        <w:rPr>
          <w:b/>
          <w:sz w:val="22"/>
          <w:szCs w:val="22"/>
        </w:rPr>
        <w:tab/>
      </w:r>
      <w:r w:rsidR="00571BA8">
        <w:rPr>
          <w:sz w:val="22"/>
          <w:szCs w:val="22"/>
        </w:rPr>
        <w:t>Family Court Judge</w:t>
      </w:r>
      <w:r w:rsidR="00571BA8">
        <w:rPr>
          <w:sz w:val="22"/>
          <w:szCs w:val="22"/>
        </w:rPr>
        <w:tab/>
      </w:r>
      <w:r w:rsidR="00571BA8">
        <w:rPr>
          <w:sz w:val="22"/>
          <w:szCs w:val="22"/>
        </w:rPr>
        <w:tab/>
      </w:r>
      <w:r w:rsidR="00571BA8">
        <w:rPr>
          <w:sz w:val="22"/>
          <w:szCs w:val="22"/>
        </w:rPr>
        <w:tab/>
      </w:r>
      <w:r w:rsidR="00571BA8">
        <w:rPr>
          <w:sz w:val="22"/>
          <w:szCs w:val="22"/>
        </w:rPr>
        <w:tab/>
      </w:r>
    </w:p>
    <w:sectPr w:rsidR="00571BA8" w:rsidSect="00761A6E">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1D" w:rsidRDefault="00BA6B1D">
      <w:r>
        <w:separator/>
      </w:r>
    </w:p>
  </w:endnote>
  <w:endnote w:type="continuationSeparator" w:id="0">
    <w:p w:rsidR="00BA6B1D" w:rsidRDefault="00BA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1D" w:rsidRDefault="00023CA5" w:rsidP="00D265AD">
    <w:pPr>
      <w:pStyle w:val="Footer"/>
      <w:framePr w:wrap="around" w:vAnchor="text" w:hAnchor="margin" w:xAlign="center" w:y="1"/>
      <w:rPr>
        <w:rStyle w:val="PageNumber"/>
      </w:rPr>
    </w:pPr>
    <w:r>
      <w:rPr>
        <w:rStyle w:val="PageNumber"/>
      </w:rPr>
      <w:fldChar w:fldCharType="begin"/>
    </w:r>
    <w:r w:rsidR="00BA6B1D">
      <w:rPr>
        <w:rStyle w:val="PageNumber"/>
      </w:rPr>
      <w:instrText xml:space="preserve">PAGE  </w:instrText>
    </w:r>
    <w:r>
      <w:rPr>
        <w:rStyle w:val="PageNumber"/>
      </w:rPr>
      <w:fldChar w:fldCharType="end"/>
    </w:r>
  </w:p>
  <w:p w:rsidR="00BA6B1D" w:rsidRDefault="00BA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1D" w:rsidRDefault="00BA6B1D">
    <w:pPr>
      <w:pStyle w:val="Footer"/>
    </w:pPr>
    <w:r>
      <w:t>S</w:t>
    </w:r>
    <w:r w:rsidR="00CF1BD7">
      <w:t>CCA 487D (7</w:t>
    </w:r>
    <w:r>
      <w:t>/20</w:t>
    </w:r>
    <w:r w:rsidR="00CF1BD7">
      <w:t>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1D" w:rsidRDefault="00BA6B1D">
      <w:r>
        <w:separator/>
      </w:r>
    </w:p>
  </w:footnote>
  <w:footnote w:type="continuationSeparator" w:id="0">
    <w:p w:rsidR="00BA6B1D" w:rsidRDefault="00BA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CB"/>
    <w:rsid w:val="00023CA5"/>
    <w:rsid w:val="000C6CE4"/>
    <w:rsid w:val="001A3720"/>
    <w:rsid w:val="00225C7B"/>
    <w:rsid w:val="002E1465"/>
    <w:rsid w:val="0042279A"/>
    <w:rsid w:val="00510F4D"/>
    <w:rsid w:val="00571BA8"/>
    <w:rsid w:val="005F47EA"/>
    <w:rsid w:val="00670EE0"/>
    <w:rsid w:val="00761A6E"/>
    <w:rsid w:val="007814D9"/>
    <w:rsid w:val="007A6D31"/>
    <w:rsid w:val="00800779"/>
    <w:rsid w:val="009A107E"/>
    <w:rsid w:val="009F2B44"/>
    <w:rsid w:val="00A419E7"/>
    <w:rsid w:val="00AA27F8"/>
    <w:rsid w:val="00B01F8D"/>
    <w:rsid w:val="00B82B50"/>
    <w:rsid w:val="00BA6B1D"/>
    <w:rsid w:val="00CE79A2"/>
    <w:rsid w:val="00CF1BD7"/>
    <w:rsid w:val="00D265AD"/>
    <w:rsid w:val="00DC11CB"/>
    <w:rsid w:val="00E85196"/>
    <w:rsid w:val="00EB7F1C"/>
    <w:rsid w:val="00EC7E74"/>
    <w:rsid w:val="00FD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3BC95B-F4F7-4B37-9176-07599052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1465"/>
    <w:pPr>
      <w:tabs>
        <w:tab w:val="center" w:pos="4320"/>
        <w:tab w:val="right" w:pos="8640"/>
      </w:tabs>
    </w:pPr>
  </w:style>
  <w:style w:type="paragraph" w:styleId="Footer">
    <w:name w:val="footer"/>
    <w:basedOn w:val="Normal"/>
    <w:rsid w:val="002E1465"/>
    <w:pPr>
      <w:tabs>
        <w:tab w:val="center" w:pos="4320"/>
        <w:tab w:val="right" w:pos="8640"/>
      </w:tabs>
    </w:pPr>
  </w:style>
  <w:style w:type="character" w:styleId="PageNumber">
    <w:name w:val="page number"/>
    <w:basedOn w:val="DefaultParagraphFont"/>
    <w:rsid w:val="002E1465"/>
  </w:style>
  <w:style w:type="paragraph" w:customStyle="1" w:styleId="normalsingle">
    <w:name w:val="normal single"/>
    <w:basedOn w:val="Normal"/>
    <w:rsid w:val="00761A6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E7F5-47B7-48CB-BBDB-14BA9A54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Family Court Order following Blair Hearing on Juvenile’s Competence To Stand Trial</vt:lpstr>
    </vt:vector>
  </TitlesOfParts>
  <Company>SCDDSN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Order following Blair Hearing on Juvenile’s Competence To Stand Trial</dc:title>
  <dc:creator>ARadeker</dc:creator>
  <cp:lastModifiedBy>Taaffe, Leslie</cp:lastModifiedBy>
  <cp:revision>3</cp:revision>
  <cp:lastPrinted>2009-11-10T19:21:00Z</cp:lastPrinted>
  <dcterms:created xsi:type="dcterms:W3CDTF">2019-06-28T15:32:00Z</dcterms:created>
  <dcterms:modified xsi:type="dcterms:W3CDTF">2019-06-28T15:34:00Z</dcterms:modified>
</cp:coreProperties>
</file>